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DF2" w14:textId="77777777" w:rsidR="00CD1688" w:rsidRPr="00CD1688" w:rsidRDefault="00CD1688" w:rsidP="00CD1688">
      <w:pPr>
        <w:shd w:val="clear" w:color="auto" w:fill="FFFFFF"/>
        <w:spacing w:after="0" w:line="240" w:lineRule="auto"/>
        <w:jc w:val="center"/>
        <w:outlineLvl w:val="0"/>
        <w:rPr>
          <w:rFonts w:ascii="Popins-Bold" w:eastAsia="Times New Roman" w:hAnsi="Popins-Bold" w:cs="Times New Roman"/>
          <w:color w:val="5B6369"/>
          <w:kern w:val="36"/>
          <w:sz w:val="48"/>
          <w:szCs w:val="48"/>
          <w:lang w:eastAsia="sk-SK"/>
        </w:rPr>
      </w:pPr>
      <w:proofErr w:type="spellStart"/>
      <w:r w:rsidRPr="00CD1688">
        <w:rPr>
          <w:rFonts w:ascii="Popins-Bold" w:eastAsia="Times New Roman" w:hAnsi="Popins-Bold" w:cs="Times New Roman"/>
          <w:color w:val="5B6369"/>
          <w:kern w:val="36"/>
          <w:sz w:val="48"/>
          <w:szCs w:val="48"/>
          <w:lang w:eastAsia="sk-SK"/>
        </w:rPr>
        <w:t>The</w:t>
      </w:r>
      <w:proofErr w:type="spellEnd"/>
      <w:r w:rsidRPr="00CD1688">
        <w:rPr>
          <w:rFonts w:ascii="Popins-Bold" w:eastAsia="Times New Roman" w:hAnsi="Popins-Bold" w:cs="Times New Roman"/>
          <w:color w:val="5B6369"/>
          <w:kern w:val="36"/>
          <w:sz w:val="48"/>
          <w:szCs w:val="48"/>
          <w:lang w:eastAsia="sk-SK"/>
        </w:rPr>
        <w:t xml:space="preserve"> 10th CEE NIC 2025 AGENDA</w:t>
      </w:r>
    </w:p>
    <w:p w14:paraId="021C0681" w14:textId="58C1F5B8" w:rsidR="00CD1688" w:rsidRPr="00CD1688" w:rsidRDefault="00CD1688" w:rsidP="00CD168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noProof/>
          <w:color w:val="212529"/>
          <w:sz w:val="28"/>
          <w:szCs w:val="28"/>
          <w:lang w:eastAsia="sk-SK"/>
        </w:rPr>
        <mc:AlternateContent>
          <mc:Choice Requires="wps">
            <w:drawing>
              <wp:inline distT="0" distB="0" distL="0" distR="0" wp14:anchorId="45B940FA" wp14:editId="5F1F8F1B">
                <wp:extent cx="304800" cy="304800"/>
                <wp:effectExtent l="0" t="0" r="0" b="0"/>
                <wp:docPr id="4" name="Obdĺžn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63139" id="Obdĺžni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SzvH98gEAAMU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08323B70" w14:textId="77777777" w:rsidR="00CD1688" w:rsidRPr="00CD1688" w:rsidRDefault="00CD1688" w:rsidP="00CD1688">
      <w:pPr>
        <w:shd w:val="clear" w:color="auto" w:fill="FFFFFF"/>
        <w:spacing w:after="0" w:line="240" w:lineRule="auto"/>
        <w:jc w:val="center"/>
        <w:outlineLvl w:val="0"/>
        <w:rPr>
          <w:rFonts w:ascii="Popins-ExtraBold" w:eastAsia="Times New Roman" w:hAnsi="Popins-ExtraBold" w:cs="Segoe UI"/>
          <w:color w:val="5B6369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ExtraBold" w:eastAsia="Times New Roman" w:hAnsi="Popins-ExtraBold" w:cs="Segoe UI"/>
          <w:color w:val="5B6369"/>
          <w:kern w:val="36"/>
          <w:sz w:val="28"/>
          <w:szCs w:val="28"/>
          <w:lang w:eastAsia="sk-SK"/>
        </w:rPr>
        <w:t>June</w:t>
      </w:r>
      <w:proofErr w:type="spellEnd"/>
      <w:r w:rsidRPr="00CD1688">
        <w:rPr>
          <w:rFonts w:ascii="Popins-ExtraBold" w:eastAsia="Times New Roman" w:hAnsi="Popins-ExtraBold" w:cs="Segoe UI"/>
          <w:color w:val="5B6369"/>
          <w:kern w:val="36"/>
          <w:sz w:val="28"/>
          <w:szCs w:val="28"/>
          <w:lang w:eastAsia="sk-SK"/>
        </w:rPr>
        <w:t xml:space="preserve"> 10, 2025</w:t>
      </w:r>
    </w:p>
    <w:p w14:paraId="0A1EF07D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</w:pP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The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 10th CEE NIC 2025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is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open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all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delegates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exhibitors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visitors</w:t>
      </w:r>
      <w:proofErr w:type="spellEnd"/>
      <w:r w:rsidRPr="00CD1688">
        <w:rPr>
          <w:rFonts w:ascii="Popins-Light" w:eastAsia="Times New Roman" w:hAnsi="Popins-Light" w:cs="Segoe UI"/>
          <w:color w:val="515151"/>
          <w:sz w:val="28"/>
          <w:szCs w:val="28"/>
          <w:lang w:eastAsia="sk-SK"/>
        </w:rPr>
        <w:t>.</w:t>
      </w:r>
    </w:p>
    <w:p w14:paraId="7B08AD66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16F11107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0"/>
          <w:szCs w:val="40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Main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Forum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—STRATEGIC VISION AND INNOVATIONS</w:t>
      </w:r>
    </w:p>
    <w:p w14:paraId="3926ED78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</w:p>
    <w:p w14:paraId="2570E9B7" w14:textId="77777777" w:rsidR="00CD1688" w:rsidRPr="00CD1688" w:rsidRDefault="00CD1688" w:rsidP="00CD1688">
      <w:pPr>
        <w:shd w:val="clear" w:color="auto" w:fill="5B6369"/>
        <w:spacing w:after="30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08:00</w:t>
      </w:r>
    </w:p>
    <w:p w14:paraId="77C2D224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08:50</w:t>
      </w:r>
    </w:p>
    <w:p w14:paraId="0804A5EB" w14:textId="77777777" w:rsidR="00CD1688" w:rsidRPr="00CD1688" w:rsidRDefault="00CD1688" w:rsidP="00CD1688">
      <w:pPr>
        <w:shd w:val="clear" w:color="auto" w:fill="FFFFFF"/>
        <w:spacing w:after="225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Registration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Morning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Tea</w:t>
      </w:r>
    </w:p>
    <w:p w14:paraId="355DDF25" w14:textId="77777777" w:rsidR="00CD1688" w:rsidRPr="00CD1688" w:rsidRDefault="00CD1688" w:rsidP="00CD1688">
      <w:pPr>
        <w:shd w:val="clear" w:color="auto" w:fill="FFFFFF"/>
        <w:spacing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Opening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Chairman’s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Welcome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Address</w:t>
      </w:r>
      <w:proofErr w:type="spellEnd"/>
    </w:p>
    <w:p w14:paraId="6D465FD0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Session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 xml:space="preserve"> 1: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Exploring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 xml:space="preserve"> New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Power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Capacity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28"/>
          <w:szCs w:val="28"/>
          <w:shd w:val="clear" w:color="auto" w:fill="FFFFFF"/>
          <w:lang w:eastAsia="sk-SK"/>
        </w:rPr>
        <w:t>Potentials</w:t>
      </w:r>
      <w:proofErr w:type="spellEnd"/>
    </w:p>
    <w:p w14:paraId="3FD69271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09:00</w:t>
      </w:r>
    </w:p>
    <w:p w14:paraId="25BCD7D6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58B0FDF7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Global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Strategy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2030: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Power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for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Security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Net-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Zero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Goals</w:t>
      </w:r>
      <w:proofErr w:type="spellEnd"/>
    </w:p>
    <w:p w14:paraId="190BC2AD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7338276F" w14:textId="77777777" w:rsidR="00CD1688" w:rsidRPr="00CD1688" w:rsidRDefault="00CD1688" w:rsidP="00CD1688">
      <w:pPr>
        <w:numPr>
          <w:ilvl w:val="0"/>
          <w:numId w:val="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Expanding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landscape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global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projects</w:t>
      </w:r>
      <w:proofErr w:type="spellEnd"/>
    </w:p>
    <w:p w14:paraId="4C4DBD31" w14:textId="77777777" w:rsidR="00CD1688" w:rsidRPr="00CD1688" w:rsidRDefault="00CD1688" w:rsidP="00CD1688">
      <w:pPr>
        <w:numPr>
          <w:ilvl w:val="0"/>
          <w:numId w:val="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Global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ecosystem:Competitiveness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challenges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during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military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conflicts</w:t>
      </w:r>
      <w:proofErr w:type="spellEnd"/>
    </w:p>
    <w:p w14:paraId="5D5FE1FB" w14:textId="77777777" w:rsidR="00CD1688" w:rsidRPr="00CD1688" w:rsidRDefault="00CD1688" w:rsidP="00CD1688">
      <w:pPr>
        <w:numPr>
          <w:ilvl w:val="0"/>
          <w:numId w:val="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International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cooperation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supply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chain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support</w:t>
      </w:r>
      <w:proofErr w:type="spellEnd"/>
    </w:p>
    <w:p w14:paraId="426D4A94" w14:textId="77777777" w:rsidR="00CD1688" w:rsidRPr="00CD1688" w:rsidRDefault="00CD1688" w:rsidP="00CD1688">
      <w:pPr>
        <w:numPr>
          <w:ilvl w:val="0"/>
          <w:numId w:val="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Technological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advancements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next-generation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reactors</w:t>
      </w:r>
      <w:proofErr w:type="spellEnd"/>
    </w:p>
    <w:p w14:paraId="75D2D4EC" w14:textId="77777777" w:rsidR="00CD1688" w:rsidRPr="00CD1688" w:rsidRDefault="00CD1688" w:rsidP="00CD1688">
      <w:pPr>
        <w:numPr>
          <w:ilvl w:val="0"/>
          <w:numId w:val="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Future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outlook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transition</w:t>
      </w:r>
      <w:proofErr w:type="spellEnd"/>
    </w:p>
    <w:p w14:paraId="343F54AD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IAEA</w:t>
      </w:r>
    </w:p>
    <w:p w14:paraId="6671F96F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7CA03CE6" w14:textId="31BACDB2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09:25</w:t>
      </w:r>
    </w:p>
    <w:p w14:paraId="2A4D2B68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Opportunities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Risks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Power’s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Role in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Meeting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Europe’s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2040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Targets</w:t>
      </w:r>
      <w:proofErr w:type="spellEnd"/>
    </w:p>
    <w:p w14:paraId="6D870554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6FE44B78" w14:textId="77777777" w:rsidR="00CD1688" w:rsidRPr="00CD1688" w:rsidRDefault="00CD1688" w:rsidP="00CD1688">
      <w:pPr>
        <w:numPr>
          <w:ilvl w:val="0"/>
          <w:numId w:val="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European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Commission’s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policy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update</w:t>
      </w:r>
    </w:p>
    <w:p w14:paraId="2430206C" w14:textId="77777777" w:rsidR="00CD1688" w:rsidRPr="00CD1688" w:rsidRDefault="00CD1688" w:rsidP="00CD1688">
      <w:pPr>
        <w:numPr>
          <w:ilvl w:val="0"/>
          <w:numId w:val="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role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achieving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Europe’s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2040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industrial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</w:p>
    <w:p w14:paraId="6558A360" w14:textId="77777777" w:rsidR="00CD1688" w:rsidRPr="00CD1688" w:rsidRDefault="00CD1688" w:rsidP="00CD1688">
      <w:pPr>
        <w:numPr>
          <w:ilvl w:val="0"/>
          <w:numId w:val="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European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ecosystem:Regulatory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framework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competences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staffing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funding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risks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needs</w:t>
      </w:r>
      <w:proofErr w:type="spellEnd"/>
    </w:p>
    <w:p w14:paraId="14809968" w14:textId="77777777" w:rsidR="00CD1688" w:rsidRPr="00CD1688" w:rsidRDefault="00CD1688" w:rsidP="00CD1688">
      <w:pPr>
        <w:numPr>
          <w:ilvl w:val="0"/>
          <w:numId w:val="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European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Industrial Alliance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SMRs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innovation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deployment</w:t>
      </w:r>
      <w:proofErr w:type="spellEnd"/>
    </w:p>
    <w:p w14:paraId="2489E41A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European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Commission</w:t>
      </w:r>
      <w:proofErr w:type="spellEnd"/>
    </w:p>
    <w:p w14:paraId="5900918F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0"/>
          <w:szCs w:val="40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Session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2: National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Perspectives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Strategic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Vision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for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CEE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Development</w:t>
      </w:r>
      <w:proofErr w:type="spellEnd"/>
    </w:p>
    <w:p w14:paraId="05DD0C2B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09:50</w:t>
      </w:r>
    </w:p>
    <w:p w14:paraId="0C2892B5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0B90EF5E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Expansion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Power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the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Czech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Republic</w:t>
      </w:r>
      <w:proofErr w:type="spellEnd"/>
    </w:p>
    <w:p w14:paraId="523B92CF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527BE8BD" w14:textId="77777777" w:rsidR="00CD1688" w:rsidRPr="00CD1688" w:rsidRDefault="00CD1688" w:rsidP="00CD1688">
      <w:pPr>
        <w:numPr>
          <w:ilvl w:val="0"/>
          <w:numId w:val="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Long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-term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developing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energy-national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strategies</w:t>
      </w:r>
      <w:proofErr w:type="spellEnd"/>
    </w:p>
    <w:p w14:paraId="769C76D2" w14:textId="77777777" w:rsidR="00CD1688" w:rsidRPr="00CD1688" w:rsidRDefault="00CD1688" w:rsidP="00CD1688">
      <w:pPr>
        <w:numPr>
          <w:ilvl w:val="0"/>
          <w:numId w:val="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Recent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updates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tendering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process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Dukovany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5</w:t>
      </w:r>
    </w:p>
    <w:p w14:paraId="6B874029" w14:textId="77777777" w:rsidR="00CD1688" w:rsidRPr="00CD1688" w:rsidRDefault="00CD1688" w:rsidP="00CD1688">
      <w:pPr>
        <w:numPr>
          <w:ilvl w:val="0"/>
          <w:numId w:val="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Czech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SMR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roadmap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Feasibility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studies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pilot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potential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deployment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sites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such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as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Dětmarovice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Tisová</w:t>
      </w:r>
    </w:p>
    <w:p w14:paraId="3EB5580F" w14:textId="77777777" w:rsidR="00CD1688" w:rsidRPr="00CD1688" w:rsidRDefault="00CD1688" w:rsidP="00CD1688">
      <w:pPr>
        <w:numPr>
          <w:ilvl w:val="0"/>
          <w:numId w:val="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deep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geological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repository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planning</w:t>
      </w:r>
      <w:proofErr w:type="spellEnd"/>
    </w:p>
    <w:p w14:paraId="4E001855" w14:textId="77777777" w:rsidR="00CD1688" w:rsidRPr="00CD1688" w:rsidRDefault="00CD1688" w:rsidP="00CD1688">
      <w:pPr>
        <w:numPr>
          <w:ilvl w:val="0"/>
          <w:numId w:val="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Enhancing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international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cooperation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technology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supply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chain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development</w:t>
      </w:r>
      <w:proofErr w:type="spellEnd"/>
    </w:p>
    <w:p w14:paraId="74B24965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Ministry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of Industry and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Trade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Czech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Republic</w:t>
      </w:r>
      <w:proofErr w:type="spellEnd"/>
    </w:p>
    <w:p w14:paraId="30EFE504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76B6A3B2" w14:textId="3D7AF403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10:15</w:t>
      </w:r>
    </w:p>
    <w:p w14:paraId="57B2D52E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Poland’s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Ambitions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Strategic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Pathways</w:t>
      </w:r>
      <w:proofErr w:type="spellEnd"/>
    </w:p>
    <w:p w14:paraId="02A926BF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2E40297B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legal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status,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strategic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documents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update</w:t>
      </w:r>
    </w:p>
    <w:p w14:paraId="6E842116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Current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status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recent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developments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Poland’s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first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power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at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Lubiatowo-Kopalino</w:t>
      </w:r>
      <w:proofErr w:type="spellEnd"/>
    </w:p>
    <w:p w14:paraId="5DF62BD2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Updates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Patnów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role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diversifying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Poland’s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mix</w:t>
      </w:r>
    </w:p>
    <w:p w14:paraId="47FC079B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accelerate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SMR and HTGR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development</w:t>
      </w:r>
      <w:proofErr w:type="spellEnd"/>
    </w:p>
    <w:p w14:paraId="2ABCA9DD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Advancements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Poland’s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waste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management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ensure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long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-term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sustainability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safety</w:t>
      </w:r>
      <w:proofErr w:type="spellEnd"/>
    </w:p>
    <w:p w14:paraId="22CD53FC" w14:textId="77777777" w:rsidR="00CD1688" w:rsidRPr="00CD1688" w:rsidRDefault="00CD1688" w:rsidP="00CD1688">
      <w:pPr>
        <w:numPr>
          <w:ilvl w:val="0"/>
          <w:numId w:val="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Aligning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with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EU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security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priorities</w:t>
      </w:r>
      <w:proofErr w:type="spellEnd"/>
    </w:p>
    <w:p w14:paraId="3A1BB613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Ministry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Environment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Poland</w:t>
      </w:r>
      <w:proofErr w:type="spellEnd"/>
    </w:p>
    <w:p w14:paraId="5424D456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10:40</w:t>
      </w:r>
    </w:p>
    <w:p w14:paraId="23F2D47D" w14:textId="77777777" w:rsidR="00CD1688" w:rsidRPr="00CD1688" w:rsidRDefault="00CD1688" w:rsidP="00CD1688">
      <w:pPr>
        <w:shd w:val="clear" w:color="auto" w:fill="FFFFFF"/>
        <w:spacing w:after="0" w:line="240" w:lineRule="auto"/>
        <w:ind w:left="750"/>
        <w:outlineLvl w:val="2"/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>Networking</w:t>
      </w:r>
      <w:proofErr w:type="spellEnd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>Coffee</w:t>
      </w:r>
      <w:proofErr w:type="spellEnd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 xml:space="preserve"> Break</w:t>
      </w:r>
    </w:p>
    <w:p w14:paraId="35CE92CE" w14:textId="59227245" w:rsidR="00CD1688" w:rsidRPr="00CD1688" w:rsidRDefault="00CD1688" w:rsidP="00CD16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noProof/>
          <w:color w:val="212529"/>
          <w:sz w:val="28"/>
          <w:szCs w:val="28"/>
          <w:lang w:eastAsia="sk-SK"/>
        </w:rPr>
        <mc:AlternateContent>
          <mc:Choice Requires="wps">
            <w:drawing>
              <wp:inline distT="0" distB="0" distL="0" distR="0" wp14:anchorId="6EFE935B" wp14:editId="7547A8C5">
                <wp:extent cx="304800" cy="304800"/>
                <wp:effectExtent l="0" t="0" r="0" b="0"/>
                <wp:docPr id="3" name="Obdĺžn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F48EA" id="Obdĺžni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nwhyv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50E2C90B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11:10</w:t>
      </w:r>
    </w:p>
    <w:p w14:paraId="27478D87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Driving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Bulgaria’s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Future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Expanding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Capacity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Ensuring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Security</w:t>
      </w:r>
      <w:proofErr w:type="spellEnd"/>
    </w:p>
    <w:p w14:paraId="7F0D4869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3B9FD237" w14:textId="77777777" w:rsidR="00CD1688" w:rsidRPr="00CD1688" w:rsidRDefault="00CD1688" w:rsidP="00CD1688">
      <w:pPr>
        <w:numPr>
          <w:ilvl w:val="0"/>
          <w:numId w:val="5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Strategic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vision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new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reactors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Bulgaria’s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strategy</w:t>
      </w:r>
      <w:proofErr w:type="spellEnd"/>
    </w:p>
    <w:p w14:paraId="7D505B5F" w14:textId="77777777" w:rsidR="00CD1688" w:rsidRPr="00CD1688" w:rsidRDefault="00CD1688" w:rsidP="00CD1688">
      <w:pPr>
        <w:numPr>
          <w:ilvl w:val="0"/>
          <w:numId w:val="5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Updates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Kozloduy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7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8</w:t>
      </w:r>
    </w:p>
    <w:p w14:paraId="0ECE5216" w14:textId="77777777" w:rsidR="00CD1688" w:rsidRPr="00CD1688" w:rsidRDefault="00CD1688" w:rsidP="00CD1688">
      <w:pPr>
        <w:numPr>
          <w:ilvl w:val="0"/>
          <w:numId w:val="5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Long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-term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operation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modernization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Kozloduy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5 and 6.</w:t>
      </w:r>
    </w:p>
    <w:p w14:paraId="1C2FD22A" w14:textId="77777777" w:rsidR="00CD1688" w:rsidRPr="00CD1688" w:rsidRDefault="00CD1688" w:rsidP="00CD1688">
      <w:pPr>
        <w:numPr>
          <w:ilvl w:val="0"/>
          <w:numId w:val="5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International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diversify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fuel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supplies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enhance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security</w:t>
      </w:r>
      <w:proofErr w:type="spellEnd"/>
    </w:p>
    <w:p w14:paraId="719E4343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Bulgarian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Agency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(BNRA)</w:t>
      </w:r>
    </w:p>
    <w:p w14:paraId="50EEA920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5F874F68" w14:textId="7E31A0B1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11:35</w:t>
      </w:r>
    </w:p>
    <w:p w14:paraId="64FE428A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Romania’s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Power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Future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Strengthening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Security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Sustainability</w:t>
      </w:r>
      <w:proofErr w:type="spellEnd"/>
    </w:p>
    <w:p w14:paraId="094B8858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31BA5423" w14:textId="77777777" w:rsidR="00CD1688" w:rsidRPr="00CD1688" w:rsidRDefault="00CD1688" w:rsidP="00CD1688">
      <w:pPr>
        <w:numPr>
          <w:ilvl w:val="0"/>
          <w:numId w:val="6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Integrated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change</w:t>
      </w:r>
    </w:p>
    <w:p w14:paraId="543A9715" w14:textId="77777777" w:rsidR="00CD1688" w:rsidRPr="00CD1688" w:rsidRDefault="00CD1688" w:rsidP="00CD1688">
      <w:pPr>
        <w:numPr>
          <w:ilvl w:val="0"/>
          <w:numId w:val="6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Romania's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fuel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cycle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evolution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implementation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SMR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technology</w:t>
      </w:r>
      <w:proofErr w:type="spellEnd"/>
    </w:p>
    <w:p w14:paraId="66C2EEB2" w14:textId="77777777" w:rsidR="00CD1688" w:rsidRPr="00CD1688" w:rsidRDefault="00CD1688" w:rsidP="00CD1688">
      <w:pPr>
        <w:numPr>
          <w:ilvl w:val="0"/>
          <w:numId w:val="6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partnerships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Cernavoda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3 and 4</w:t>
      </w:r>
    </w:p>
    <w:p w14:paraId="5F4C1C59" w14:textId="77777777" w:rsidR="00CD1688" w:rsidRPr="00CD1688" w:rsidRDefault="00CD1688" w:rsidP="00CD1688">
      <w:pPr>
        <w:numPr>
          <w:ilvl w:val="0"/>
          <w:numId w:val="6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Update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modernization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life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extension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Cernavoda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1</w:t>
      </w:r>
    </w:p>
    <w:p w14:paraId="05E85B93" w14:textId="77777777" w:rsidR="00CD1688" w:rsidRPr="00CD1688" w:rsidRDefault="00CD1688" w:rsidP="00CD1688">
      <w:pPr>
        <w:numPr>
          <w:ilvl w:val="0"/>
          <w:numId w:val="6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Romania’s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first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SMR at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Doicești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with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U.S.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</w:p>
    <w:p w14:paraId="3E0DD6B1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National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Commission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for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Activities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Control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(CNCAN)</w:t>
      </w:r>
    </w:p>
    <w:p w14:paraId="33F2184C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12:00</w:t>
      </w:r>
    </w:p>
    <w:p w14:paraId="699AE6D6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Panel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Discussion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Strategic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Vision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for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CEE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Development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Overcoming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Challenges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 NPP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Projects</w:t>
      </w:r>
      <w:proofErr w:type="spellEnd"/>
    </w:p>
    <w:p w14:paraId="769687AA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07DF827E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Addressing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challenges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alignment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supply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chain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resilience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249DC775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What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innovative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mechanisms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attract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investors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large-scale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53F9A95F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Role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SMRs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transforming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CEE’s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landscape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achieving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2BE3817F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What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steps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are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needed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establish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sustainable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resilient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supply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chain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51EBB2C3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How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transparency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effective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communication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improve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public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acceptance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5A35C392" w14:textId="77777777" w:rsidR="00CD1688" w:rsidRPr="00CD1688" w:rsidRDefault="00CD1688" w:rsidP="00CD1688">
      <w:pPr>
        <w:numPr>
          <w:ilvl w:val="0"/>
          <w:numId w:val="7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Opportunities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advancing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across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Central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Eastern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Europe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5B9CA4FC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Government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Regulator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Operator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Reactor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Developer/Association</w:t>
      </w:r>
    </w:p>
    <w:p w14:paraId="6507BF12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2372356F" w14:textId="6EDB1028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12:40</w:t>
      </w:r>
    </w:p>
    <w:p w14:paraId="6F78ADA7" w14:textId="77777777" w:rsidR="00CD1688" w:rsidRPr="00CD1688" w:rsidRDefault="00CD1688" w:rsidP="00CD1688">
      <w:pPr>
        <w:shd w:val="clear" w:color="auto" w:fill="FFFFFF"/>
        <w:spacing w:after="0" w:line="240" w:lineRule="auto"/>
        <w:ind w:left="750"/>
        <w:outlineLvl w:val="2"/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>Networking</w:t>
      </w:r>
      <w:proofErr w:type="spellEnd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 xml:space="preserve"> luncheon</w:t>
      </w:r>
    </w:p>
    <w:p w14:paraId="03AAC0B4" w14:textId="3FF112C6" w:rsidR="00CD1688" w:rsidRPr="00CD1688" w:rsidRDefault="00CD1688" w:rsidP="00CD16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noProof/>
          <w:color w:val="212529"/>
          <w:sz w:val="28"/>
          <w:szCs w:val="28"/>
          <w:lang w:eastAsia="sk-SK"/>
        </w:rPr>
        <mc:AlternateContent>
          <mc:Choice Requires="wps">
            <w:drawing>
              <wp:inline distT="0" distB="0" distL="0" distR="0" wp14:anchorId="3767F069" wp14:editId="497245EB">
                <wp:extent cx="304800" cy="304800"/>
                <wp:effectExtent l="0" t="0" r="0" b="0"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0A20B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y9XD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48AF758F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14:00</w:t>
      </w:r>
    </w:p>
    <w:p w14:paraId="0E3DC352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in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Slovenia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Strategic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Updates</w:t>
      </w:r>
      <w:proofErr w:type="spellEnd"/>
    </w:p>
    <w:p w14:paraId="727AE87E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70362374" w14:textId="77777777" w:rsidR="00CD1688" w:rsidRPr="00CD1688" w:rsidRDefault="00CD1688" w:rsidP="00CD1688">
      <w:pPr>
        <w:numPr>
          <w:ilvl w:val="0"/>
          <w:numId w:val="8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Advancing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Slovenia’s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independence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with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power</w:t>
      </w:r>
      <w:proofErr w:type="spellEnd"/>
    </w:p>
    <w:p w14:paraId="67FB18BE" w14:textId="77777777" w:rsidR="00CD1688" w:rsidRPr="00CD1688" w:rsidRDefault="00CD1688" w:rsidP="00CD1688">
      <w:pPr>
        <w:numPr>
          <w:ilvl w:val="0"/>
          <w:numId w:val="8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JEK 2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next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steps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following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referendum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decision</w:t>
      </w:r>
      <w:proofErr w:type="spellEnd"/>
    </w:p>
    <w:p w14:paraId="26F117C1" w14:textId="77777777" w:rsidR="00CD1688" w:rsidRPr="00CD1688" w:rsidRDefault="00CD1688" w:rsidP="00CD1688">
      <w:pPr>
        <w:numPr>
          <w:ilvl w:val="0"/>
          <w:numId w:val="8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Life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extension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Krško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reactor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2043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impact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security</w:t>
      </w:r>
      <w:proofErr w:type="spellEnd"/>
    </w:p>
    <w:p w14:paraId="0A28FBB7" w14:textId="77777777" w:rsidR="00CD1688" w:rsidRPr="00CD1688" w:rsidRDefault="00CD1688" w:rsidP="00CD1688">
      <w:pPr>
        <w:numPr>
          <w:ilvl w:val="0"/>
          <w:numId w:val="8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Updates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Krško’s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storage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facility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radioactive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waste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management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strategy</w:t>
      </w:r>
      <w:proofErr w:type="spellEnd"/>
    </w:p>
    <w:p w14:paraId="614D6296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Ministry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the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Environment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Spatial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Planning,Slovenia</w:t>
      </w:r>
      <w:proofErr w:type="spellEnd"/>
    </w:p>
    <w:p w14:paraId="70CBFCCA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14:25</w:t>
      </w:r>
    </w:p>
    <w:p w14:paraId="5CADCB97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Power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 Slovakia: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Future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Plans</w:t>
      </w:r>
      <w:proofErr w:type="spellEnd"/>
    </w:p>
    <w:p w14:paraId="12684397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44F5A244" w14:textId="77777777" w:rsidR="00CD1688" w:rsidRPr="00CD1688" w:rsidRDefault="00CD1688" w:rsidP="00CD1688">
      <w:pPr>
        <w:numPr>
          <w:ilvl w:val="0"/>
          <w:numId w:val="9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Current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status of Mochovce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3-4 and SMR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prospects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Slovakia</w:t>
      </w:r>
    </w:p>
    <w:p w14:paraId="1E5EDD34" w14:textId="77777777" w:rsidR="00CD1688" w:rsidRPr="00CD1688" w:rsidRDefault="00CD1688" w:rsidP="00CD1688">
      <w:pPr>
        <w:numPr>
          <w:ilvl w:val="0"/>
          <w:numId w:val="9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New 1,200 MW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reactor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at Jaslovské Bohunice</w:t>
      </w:r>
    </w:p>
    <w:p w14:paraId="3858C6D8" w14:textId="77777777" w:rsidR="00CD1688" w:rsidRPr="00CD1688" w:rsidRDefault="00CD1688" w:rsidP="00CD1688">
      <w:pPr>
        <w:numPr>
          <w:ilvl w:val="0"/>
          <w:numId w:val="9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decommissioning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Bohunice NPP</w:t>
      </w:r>
    </w:p>
    <w:p w14:paraId="40D113BA" w14:textId="77777777" w:rsidR="00CD1688" w:rsidRPr="00CD1688" w:rsidRDefault="00CD1688" w:rsidP="00CD1688">
      <w:pPr>
        <w:numPr>
          <w:ilvl w:val="0"/>
          <w:numId w:val="9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Slovakia’s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aligned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with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EU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climate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neutrality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</w:p>
    <w:p w14:paraId="2FEE9672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Authority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the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Slovak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Republic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(UJD SR)</w:t>
      </w:r>
    </w:p>
    <w:p w14:paraId="4F63F713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6F0E5F04" w14:textId="753A0F25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14:50</w:t>
      </w:r>
    </w:p>
    <w:p w14:paraId="156000DC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1F0DBAAF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Hungary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Modernizing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Infrastructure</w:t>
      </w:r>
      <w:proofErr w:type="spellEnd"/>
    </w:p>
    <w:p w14:paraId="6CBF9F57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0E50CFA9" w14:textId="77777777" w:rsidR="00CD1688" w:rsidRPr="00CD1688" w:rsidRDefault="00CD1688" w:rsidP="00CD1688">
      <w:pPr>
        <w:numPr>
          <w:ilvl w:val="0"/>
          <w:numId w:val="10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Enhancements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Hungary’s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framework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ensure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safety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compliance</w:t>
      </w:r>
      <w:proofErr w:type="spellEnd"/>
    </w:p>
    <w:p w14:paraId="4D3B2E08" w14:textId="77777777" w:rsidR="00CD1688" w:rsidRPr="00CD1688" w:rsidRDefault="00CD1688" w:rsidP="00CD1688">
      <w:pPr>
        <w:numPr>
          <w:ilvl w:val="0"/>
          <w:numId w:val="10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II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project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key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milestones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construction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timelines</w:t>
      </w:r>
      <w:proofErr w:type="spellEnd"/>
    </w:p>
    <w:p w14:paraId="7261C61D" w14:textId="77777777" w:rsidR="00CD1688" w:rsidRPr="00CD1688" w:rsidRDefault="00CD1688" w:rsidP="00CD1688">
      <w:pPr>
        <w:numPr>
          <w:ilvl w:val="0"/>
          <w:numId w:val="10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Approval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further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extend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the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operational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lifespan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1-4</w:t>
      </w:r>
    </w:p>
    <w:p w14:paraId="2BFA453E" w14:textId="77777777" w:rsidR="00CD1688" w:rsidRPr="00CD1688" w:rsidRDefault="00CD1688" w:rsidP="00CD1688">
      <w:pPr>
        <w:numPr>
          <w:ilvl w:val="0"/>
          <w:numId w:val="10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Implementation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capacity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maintenance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plans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lifetime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extensions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existing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</w:p>
    <w:p w14:paraId="3B3F14FE" w14:textId="77777777" w:rsidR="00CD1688" w:rsidRPr="00CD1688" w:rsidRDefault="00CD1688" w:rsidP="00CD1688">
      <w:pPr>
        <w:numPr>
          <w:ilvl w:val="0"/>
          <w:numId w:val="10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II and SMR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with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Japan</w:t>
      </w:r>
    </w:p>
    <w:p w14:paraId="7E153A53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Ministry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for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National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Development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Hungary</w:t>
      </w:r>
      <w:proofErr w:type="spellEnd"/>
    </w:p>
    <w:p w14:paraId="0F6B6B21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15:15</w:t>
      </w:r>
    </w:p>
    <w:p w14:paraId="26F996E6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501EBB16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Finland’s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Energy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Strategy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Innovation</w:t>
      </w:r>
      <w:proofErr w:type="spellEnd"/>
    </w:p>
    <w:p w14:paraId="45FC2A69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75F3DBCD" w14:textId="77777777" w:rsidR="00CD1688" w:rsidRPr="00CD1688" w:rsidRDefault="00CD1688" w:rsidP="00CD1688">
      <w:pPr>
        <w:numPr>
          <w:ilvl w:val="0"/>
          <w:numId w:val="1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Strengthening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security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support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Finland’s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net-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zero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</w:p>
    <w:p w14:paraId="274449A0" w14:textId="77777777" w:rsidR="00CD1688" w:rsidRPr="00CD1688" w:rsidRDefault="00CD1688" w:rsidP="00CD1688">
      <w:pPr>
        <w:numPr>
          <w:ilvl w:val="0"/>
          <w:numId w:val="1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Feasibility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studies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SMRs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future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new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builds</w:t>
      </w:r>
      <w:proofErr w:type="spellEnd"/>
    </w:p>
    <w:p w14:paraId="01C9463C" w14:textId="77777777" w:rsidR="00CD1688" w:rsidRPr="00CD1688" w:rsidRDefault="00CD1688" w:rsidP="00CD1688">
      <w:pPr>
        <w:numPr>
          <w:ilvl w:val="0"/>
          <w:numId w:val="1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Updates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on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life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extension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Loviisa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Units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1 and 2</w:t>
      </w:r>
    </w:p>
    <w:p w14:paraId="21982DBC" w14:textId="77777777" w:rsidR="00CD1688" w:rsidRPr="00CD1688" w:rsidRDefault="00CD1688" w:rsidP="00CD1688">
      <w:pPr>
        <w:numPr>
          <w:ilvl w:val="0"/>
          <w:numId w:val="11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Onkalo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deep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geological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repository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progress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lessons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learned</w:t>
      </w:r>
      <w:proofErr w:type="spellEnd"/>
    </w:p>
    <w:p w14:paraId="661F5924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Ministry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of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Economic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Affairs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Employment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Finland</w:t>
      </w:r>
      <w:proofErr w:type="spellEnd"/>
    </w:p>
    <w:p w14:paraId="32B04636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5BABB4BC" w14:textId="490A7ED3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15:40</w:t>
      </w:r>
    </w:p>
    <w:p w14:paraId="65417765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1B8E5B80" w14:textId="77777777" w:rsidR="00CD1688" w:rsidRPr="00CD1688" w:rsidRDefault="00CD1688" w:rsidP="00CD1688">
      <w:pPr>
        <w:shd w:val="clear" w:color="auto" w:fill="FFFFFF"/>
        <w:spacing w:after="0" w:line="240" w:lineRule="auto"/>
        <w:ind w:left="750"/>
        <w:outlineLvl w:val="2"/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>Networking</w:t>
      </w:r>
      <w:proofErr w:type="spellEnd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>coffee</w:t>
      </w:r>
      <w:proofErr w:type="spellEnd"/>
      <w:r w:rsidRPr="00CD1688">
        <w:rPr>
          <w:rFonts w:ascii="Popins-Bold" w:eastAsia="Times New Roman" w:hAnsi="Popins-Bold" w:cs="Segoe UI"/>
          <w:color w:val="5B6369"/>
          <w:sz w:val="28"/>
          <w:szCs w:val="28"/>
          <w:lang w:eastAsia="sk-SK"/>
        </w:rPr>
        <w:t xml:space="preserve"> break</w:t>
      </w:r>
    </w:p>
    <w:p w14:paraId="3F58F001" w14:textId="111266E4" w:rsidR="00CD1688" w:rsidRPr="00CD1688" w:rsidRDefault="00CD1688" w:rsidP="00CD16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  <w:r w:rsidRPr="00CD1688">
        <w:rPr>
          <w:rFonts w:ascii="Segoe UI" w:eastAsia="Times New Roman" w:hAnsi="Segoe UI" w:cs="Segoe UI"/>
          <w:noProof/>
          <w:color w:val="212529"/>
          <w:sz w:val="28"/>
          <w:szCs w:val="28"/>
          <w:lang w:eastAsia="sk-SK"/>
        </w:rPr>
        <mc:AlternateContent>
          <mc:Choice Requires="wps">
            <w:drawing>
              <wp:inline distT="0" distB="0" distL="0" distR="0" wp14:anchorId="297ECAC8" wp14:editId="7094A1DC">
                <wp:extent cx="304800" cy="304800"/>
                <wp:effectExtent l="0" t="0" r="0" b="0"/>
                <wp:docPr id="1" name="Obdĺžn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8BC55" id="Obdĺžni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dy8m/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51FC1A2C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0"/>
          <w:szCs w:val="40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Session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3: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Managing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Risks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,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Financing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, and Project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Execution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in International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7DD990"/>
          <w:kern w:val="36"/>
          <w:sz w:val="40"/>
          <w:szCs w:val="40"/>
          <w:shd w:val="clear" w:color="auto" w:fill="FFFFFF"/>
          <w:lang w:eastAsia="sk-SK"/>
        </w:rPr>
        <w:t>Collaboration</w:t>
      </w:r>
      <w:proofErr w:type="spellEnd"/>
    </w:p>
    <w:p w14:paraId="4F84F295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16:10</w:t>
      </w:r>
    </w:p>
    <w:p w14:paraId="3A5B2DD9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56FAB100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Panel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Discussion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--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Driving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Innovative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Solutions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for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Development</w:t>
      </w:r>
      <w:proofErr w:type="spellEnd"/>
    </w:p>
    <w:p w14:paraId="6A653EAA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4921EEA7" w14:textId="77777777" w:rsidR="00CD1688" w:rsidRPr="00CD1688" w:rsidRDefault="00CD1688" w:rsidP="00CD1688">
      <w:pPr>
        <w:numPr>
          <w:ilvl w:val="0"/>
          <w:numId w:val="1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What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strategies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enhance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international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cooperation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share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lessons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learned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35CD4FEA" w14:textId="77777777" w:rsidR="00CD1688" w:rsidRPr="00CD1688" w:rsidRDefault="00CD1688" w:rsidP="00CD1688">
      <w:pPr>
        <w:numPr>
          <w:ilvl w:val="0"/>
          <w:numId w:val="1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How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innovative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models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mitigate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risks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unlock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capital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207F9648" w14:textId="77777777" w:rsidR="00CD1688" w:rsidRPr="00CD1688" w:rsidRDefault="00CD1688" w:rsidP="00CD1688">
      <w:pPr>
        <w:numPr>
          <w:ilvl w:val="0"/>
          <w:numId w:val="1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How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risks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effectively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shared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between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governments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investors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,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operators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encourage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greater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private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sector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participation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59B50C91" w14:textId="77777777" w:rsidR="00CD1688" w:rsidRPr="00CD1688" w:rsidRDefault="00CD1688" w:rsidP="00CD1688">
      <w:pPr>
        <w:numPr>
          <w:ilvl w:val="0"/>
          <w:numId w:val="1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How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public-private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partnerships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balance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stakeholder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interests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clean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energy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goals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11AFEA4D" w14:textId="77777777" w:rsidR="00CD1688" w:rsidRPr="00CD1688" w:rsidRDefault="00CD1688" w:rsidP="00CD1688">
      <w:pPr>
        <w:numPr>
          <w:ilvl w:val="0"/>
          <w:numId w:val="12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What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lessons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can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drawn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from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successful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?</w:t>
      </w:r>
    </w:p>
    <w:p w14:paraId="24BC345C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Government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Operator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Reactor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Vendor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/Investor/Bank/Association</w:t>
      </w:r>
    </w:p>
    <w:p w14:paraId="34AF3E8B" w14:textId="77777777" w:rsidR="00CD1688" w:rsidRDefault="00CD1688">
      <w:pP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br w:type="page"/>
      </w:r>
    </w:p>
    <w:p w14:paraId="63318396" w14:textId="2F824C20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lastRenderedPageBreak/>
        <w:t>16:50</w:t>
      </w:r>
    </w:p>
    <w:p w14:paraId="7D920D58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6716F2D6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Optimizing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International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Execution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Projects</w:t>
      </w:r>
      <w:proofErr w:type="spellEnd"/>
    </w:p>
    <w:p w14:paraId="766EDDF8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16467852" w14:textId="77777777" w:rsidR="00CD1688" w:rsidRPr="00CD1688" w:rsidRDefault="00CD1688" w:rsidP="00CD1688">
      <w:pPr>
        <w:numPr>
          <w:ilvl w:val="0"/>
          <w:numId w:val="1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Harmonizing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regulatory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standards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across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borders</w:t>
      </w:r>
      <w:proofErr w:type="spellEnd"/>
    </w:p>
    <w:p w14:paraId="288293C5" w14:textId="77777777" w:rsidR="00CD1688" w:rsidRPr="00CD1688" w:rsidRDefault="00CD1688" w:rsidP="00CD1688">
      <w:pPr>
        <w:numPr>
          <w:ilvl w:val="0"/>
          <w:numId w:val="1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Enhancing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team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collaboration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efficient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construction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operations</w:t>
      </w:r>
      <w:proofErr w:type="spellEnd"/>
    </w:p>
    <w:p w14:paraId="346BA5F6" w14:textId="77777777" w:rsidR="00CD1688" w:rsidRPr="00CD1688" w:rsidRDefault="00CD1688" w:rsidP="00CD1688">
      <w:pPr>
        <w:numPr>
          <w:ilvl w:val="0"/>
          <w:numId w:val="13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Leveraging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digital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tools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like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AI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digital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twins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for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streamlined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execution</w:t>
      </w:r>
      <w:proofErr w:type="spellEnd"/>
    </w:p>
    <w:p w14:paraId="20CAAD74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PGE PAK Energia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Jądrowa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S.A.,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Poland</w:t>
      </w:r>
      <w:proofErr w:type="spellEnd"/>
    </w:p>
    <w:p w14:paraId="1A6D01E0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17:15</w:t>
      </w:r>
    </w:p>
    <w:p w14:paraId="62EDB3D5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5418DAD4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The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Role of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Multilateral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Development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Banks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in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Financing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Projects</w:t>
      </w:r>
      <w:proofErr w:type="spellEnd"/>
    </w:p>
    <w:p w14:paraId="588FD8CC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217CE586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European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Bank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for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Reconstruction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Development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(EBRD)</w:t>
      </w:r>
    </w:p>
    <w:p w14:paraId="4F7E103C" w14:textId="77777777" w:rsidR="00CD1688" w:rsidRPr="00CD1688" w:rsidRDefault="00CD1688" w:rsidP="00CD1688">
      <w:pPr>
        <w:shd w:val="clear" w:color="auto" w:fill="5B6369"/>
        <w:spacing w:after="0" w:line="240" w:lineRule="auto"/>
        <w:outlineLvl w:val="1"/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</w:pPr>
      <w:r w:rsidRPr="00CD1688">
        <w:rPr>
          <w:rFonts w:ascii="Popins-Medium" w:eastAsia="Times New Roman" w:hAnsi="Popins-Medium" w:cs="Segoe UI"/>
          <w:color w:val="FFFFFF"/>
          <w:sz w:val="28"/>
          <w:szCs w:val="28"/>
          <w:lang w:eastAsia="sk-SK"/>
        </w:rPr>
        <w:t>17:40</w:t>
      </w:r>
    </w:p>
    <w:p w14:paraId="32419D5F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1A3F1B9B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</w:pPr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Project Management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for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Timely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Cost-Effective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Nuclear</w:t>
      </w:r>
      <w:proofErr w:type="spellEnd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211614"/>
          <w:kern w:val="36"/>
          <w:sz w:val="28"/>
          <w:szCs w:val="28"/>
          <w:lang w:eastAsia="sk-SK"/>
        </w:rPr>
        <w:t>Development</w:t>
      </w:r>
      <w:proofErr w:type="spellEnd"/>
    </w:p>
    <w:p w14:paraId="0212D7D6" w14:textId="77777777" w:rsidR="00CD1688" w:rsidRPr="00CD1688" w:rsidRDefault="00CD1688" w:rsidP="00CD16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</w:pPr>
      <w:r w:rsidRPr="00CD1688">
        <w:rPr>
          <w:rFonts w:ascii="Segoe UI" w:eastAsia="Times New Roman" w:hAnsi="Segoe UI" w:cs="Segoe UI"/>
          <w:color w:val="212529"/>
          <w:sz w:val="28"/>
          <w:szCs w:val="28"/>
          <w:lang w:eastAsia="sk-SK"/>
        </w:rPr>
        <w:br/>
      </w:r>
    </w:p>
    <w:p w14:paraId="27EEEE02" w14:textId="77777777" w:rsidR="00CD1688" w:rsidRPr="00CD1688" w:rsidRDefault="00CD1688" w:rsidP="00CD1688">
      <w:pPr>
        <w:numPr>
          <w:ilvl w:val="0"/>
          <w:numId w:val="1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Effective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coordination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across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international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teams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stakeholders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142D7E3A" w14:textId="77777777" w:rsidR="00CD1688" w:rsidRPr="00CD1688" w:rsidRDefault="00CD1688" w:rsidP="00CD1688">
      <w:pPr>
        <w:numPr>
          <w:ilvl w:val="0"/>
          <w:numId w:val="1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Adopting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new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technologies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to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streamline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construction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operations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305023BB" w14:textId="77777777" w:rsidR="00CD1688" w:rsidRPr="00CD1688" w:rsidRDefault="00CD1688" w:rsidP="00CD1688">
      <w:pPr>
        <w:numPr>
          <w:ilvl w:val="0"/>
          <w:numId w:val="14"/>
        </w:numPr>
        <w:shd w:val="clear" w:color="auto" w:fill="FFFFFF"/>
        <w:spacing w:after="0" w:line="240" w:lineRule="auto"/>
        <w:ind w:left="3870"/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</w:pP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Managing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delays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and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bottlenecks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: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real-world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solutions</w:t>
      </w:r>
      <w:proofErr w:type="spellEnd"/>
      <w:r w:rsidRPr="00CD1688">
        <w:rPr>
          <w:rFonts w:ascii="Popins-Regular" w:eastAsia="Times New Roman" w:hAnsi="Popins-Regular" w:cs="Segoe UI"/>
          <w:color w:val="404040"/>
          <w:sz w:val="28"/>
          <w:szCs w:val="28"/>
          <w:lang w:eastAsia="sk-SK"/>
        </w:rPr>
        <w:t>.</w:t>
      </w:r>
    </w:p>
    <w:p w14:paraId="0D777A4E" w14:textId="77777777" w:rsidR="00CD1688" w:rsidRPr="00CD1688" w:rsidRDefault="00CD1688" w:rsidP="00CD1688">
      <w:pPr>
        <w:shd w:val="clear" w:color="auto" w:fill="FFFFFF"/>
        <w:spacing w:before="225" w:line="240" w:lineRule="auto"/>
        <w:outlineLvl w:val="1"/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</w:pP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Open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for</w:t>
      </w:r>
      <w:proofErr w:type="spellEnd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 xml:space="preserve"> </w:t>
      </w:r>
      <w:proofErr w:type="spellStart"/>
      <w:r w:rsidRPr="00CD1688">
        <w:rPr>
          <w:rFonts w:ascii="Popins-MediumItalic" w:eastAsia="Times New Roman" w:hAnsi="Popins-MediumItalic" w:cs="Segoe UI"/>
          <w:color w:val="5B6369"/>
          <w:sz w:val="28"/>
          <w:szCs w:val="28"/>
          <w:lang w:eastAsia="sk-SK"/>
        </w:rPr>
        <w:t>sponsor</w:t>
      </w:r>
      <w:proofErr w:type="spellEnd"/>
    </w:p>
    <w:p w14:paraId="3B9BACBF" w14:textId="77777777" w:rsidR="00CD1688" w:rsidRPr="00CD1688" w:rsidRDefault="00CD1688" w:rsidP="00CD168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28"/>
          <w:szCs w:val="28"/>
          <w:lang w:eastAsia="sk-SK"/>
        </w:rPr>
      </w:pPr>
      <w:proofErr w:type="spellStart"/>
      <w:r w:rsidRPr="00CD1688">
        <w:rPr>
          <w:rFonts w:ascii="Popins-Bold" w:eastAsia="Times New Roman" w:hAnsi="Popins-Bold" w:cs="Segoe UI"/>
          <w:color w:val="5B6369"/>
          <w:kern w:val="36"/>
          <w:sz w:val="28"/>
          <w:szCs w:val="28"/>
          <w:shd w:val="clear" w:color="auto" w:fill="FFFFFF"/>
          <w:lang w:eastAsia="sk-SK"/>
        </w:rPr>
        <w:t>Wrap</w:t>
      </w:r>
      <w:proofErr w:type="spellEnd"/>
      <w:r w:rsidRPr="00CD1688">
        <w:rPr>
          <w:rFonts w:ascii="Popins-Bold" w:eastAsia="Times New Roman" w:hAnsi="Popins-Bold" w:cs="Segoe UI"/>
          <w:color w:val="5B6369"/>
          <w:kern w:val="36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CD1688">
        <w:rPr>
          <w:rFonts w:ascii="Popins-Bold" w:eastAsia="Times New Roman" w:hAnsi="Popins-Bold" w:cs="Segoe UI"/>
          <w:color w:val="5B6369"/>
          <w:kern w:val="36"/>
          <w:sz w:val="28"/>
          <w:szCs w:val="28"/>
          <w:shd w:val="clear" w:color="auto" w:fill="FFFFFF"/>
          <w:lang w:eastAsia="sk-SK"/>
        </w:rPr>
        <w:t>Up</w:t>
      </w:r>
      <w:proofErr w:type="spellEnd"/>
    </w:p>
    <w:p w14:paraId="24805019" w14:textId="77777777" w:rsidR="00073A82" w:rsidRPr="00CD1688" w:rsidRDefault="00073A82">
      <w:pPr>
        <w:rPr>
          <w:sz w:val="28"/>
          <w:szCs w:val="28"/>
        </w:rPr>
      </w:pPr>
    </w:p>
    <w:sectPr w:rsidR="00073A82" w:rsidRPr="00CD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ins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ins-ExtraBold">
    <w:altName w:val="Cambria"/>
    <w:panose1 w:val="00000000000000000000"/>
    <w:charset w:val="00"/>
    <w:family w:val="roman"/>
    <w:notTrueType/>
    <w:pitch w:val="default"/>
  </w:font>
  <w:font w:name="Popins-Light">
    <w:altName w:val="Cambria"/>
    <w:panose1 w:val="00000000000000000000"/>
    <w:charset w:val="00"/>
    <w:family w:val="roman"/>
    <w:notTrueType/>
    <w:pitch w:val="default"/>
  </w:font>
  <w:font w:name="Popins-Medium">
    <w:altName w:val="Cambria"/>
    <w:panose1 w:val="00000000000000000000"/>
    <w:charset w:val="00"/>
    <w:family w:val="roman"/>
    <w:notTrueType/>
    <w:pitch w:val="default"/>
  </w:font>
  <w:font w:name="Popins-Regular">
    <w:altName w:val="Cambria"/>
    <w:panose1 w:val="00000000000000000000"/>
    <w:charset w:val="00"/>
    <w:family w:val="roman"/>
    <w:notTrueType/>
    <w:pitch w:val="default"/>
  </w:font>
  <w:font w:name="Popins-Medium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BE3"/>
    <w:multiLevelType w:val="multilevel"/>
    <w:tmpl w:val="F55A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10E52"/>
    <w:multiLevelType w:val="multilevel"/>
    <w:tmpl w:val="267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7542"/>
    <w:multiLevelType w:val="multilevel"/>
    <w:tmpl w:val="495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6AC5"/>
    <w:multiLevelType w:val="multilevel"/>
    <w:tmpl w:val="966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733CC"/>
    <w:multiLevelType w:val="multilevel"/>
    <w:tmpl w:val="C27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66CB1"/>
    <w:multiLevelType w:val="multilevel"/>
    <w:tmpl w:val="278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F4CDA"/>
    <w:multiLevelType w:val="multilevel"/>
    <w:tmpl w:val="1AC0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223AB"/>
    <w:multiLevelType w:val="multilevel"/>
    <w:tmpl w:val="40BE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62557"/>
    <w:multiLevelType w:val="multilevel"/>
    <w:tmpl w:val="462C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B0447"/>
    <w:multiLevelType w:val="multilevel"/>
    <w:tmpl w:val="B44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60FC"/>
    <w:multiLevelType w:val="multilevel"/>
    <w:tmpl w:val="D5A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F4B5E"/>
    <w:multiLevelType w:val="multilevel"/>
    <w:tmpl w:val="4440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468ED"/>
    <w:multiLevelType w:val="multilevel"/>
    <w:tmpl w:val="122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14CE1"/>
    <w:multiLevelType w:val="multilevel"/>
    <w:tmpl w:val="3B0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88"/>
    <w:rsid w:val="00073A82"/>
    <w:rsid w:val="00C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7EE7"/>
  <w15:chartTrackingRefBased/>
  <w15:docId w15:val="{E919A575-A5A1-4A1A-B9EF-E2C90463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D1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CD1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168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D168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D16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1688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D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89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5B6369"/>
                <w:right w:val="none" w:sz="0" w:space="0" w:color="auto"/>
              </w:divBdr>
              <w:divsChild>
                <w:div w:id="12622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1650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67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856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292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604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92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02795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144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51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336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1217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192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709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6225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26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884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55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797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326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221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384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466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6359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6064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2014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18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611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0639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4785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9305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595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31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649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585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102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1</cp:revision>
  <dcterms:created xsi:type="dcterms:W3CDTF">2025-02-17T07:43:00Z</dcterms:created>
  <dcterms:modified xsi:type="dcterms:W3CDTF">2025-02-17T07:49:00Z</dcterms:modified>
</cp:coreProperties>
</file>